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D0EC" w14:textId="77389C69" w:rsidR="00905767" w:rsidRPr="00905767" w:rsidRDefault="00905767" w:rsidP="009057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67">
        <w:rPr>
          <w:rFonts w:ascii="Times New Roman" w:hAnsi="Times New Roman" w:cs="Times New Roman"/>
          <w:b/>
          <w:bCs/>
          <w:sz w:val="28"/>
          <w:szCs w:val="28"/>
        </w:rPr>
        <w:t>Особенности внимания детей с речевыми нарушениями</w:t>
      </w:r>
    </w:p>
    <w:p w14:paraId="03FF856C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Внимание – это фактор, способствующий избирательности протекания, любых психических процессов, как познавательных, так и аффективно-волевых. Лурия различает несколько форм внимания, соответствующим тем процессам, в которых оно реализуется. </w:t>
      </w:r>
    </w:p>
    <w:p w14:paraId="4483A1F3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К этим формам относятся: </w:t>
      </w:r>
    </w:p>
    <w:p w14:paraId="64792B3E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1. сенсорное внимание (зрительное, слуховое, тактильное); </w:t>
      </w:r>
    </w:p>
    <w:p w14:paraId="28B014D6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>2. двигательное внимание, проявляющееся в моторных процессах, их осознании и регуляции;</w:t>
      </w:r>
    </w:p>
    <w:p w14:paraId="023D7A19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 3. эмоциональное внимание, привлекаемое эмоционально-значимыми стимулами;</w:t>
      </w:r>
    </w:p>
    <w:p w14:paraId="0CBA6F7D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 4. интеллектуальное внимание, которое проявляется в интеллектуальной деятельности. </w:t>
      </w:r>
    </w:p>
    <w:p w14:paraId="69ED4E9A" w14:textId="3ACEE906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Рассматривая внимание как высшую психическую функцию, «обслуживающую» все остальные психические процессы, то становится очевидным: овладеть каким-либо навыком, знанием или умением невозможно без сформированных показателей внимания. К таким показателям А.Л. Венгер, М.В. Ермолаева, </w:t>
      </w:r>
      <w:proofErr w:type="spellStart"/>
      <w:r w:rsidRPr="00905767">
        <w:rPr>
          <w:rFonts w:ascii="Times New Roman" w:hAnsi="Times New Roman" w:cs="Times New Roman"/>
          <w:sz w:val="28"/>
          <w:szCs w:val="28"/>
        </w:rPr>
        <w:t>Н.Я.Семаго</w:t>
      </w:r>
      <w:proofErr w:type="spellEnd"/>
      <w:r w:rsidRPr="00905767">
        <w:rPr>
          <w:rFonts w:ascii="Times New Roman" w:hAnsi="Times New Roman" w:cs="Times New Roman"/>
          <w:sz w:val="28"/>
          <w:szCs w:val="28"/>
        </w:rPr>
        <w:t>, М.М. Семаго относят:</w:t>
      </w:r>
    </w:p>
    <w:p w14:paraId="61B21514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 • концентрацию внимания (способность работать не отвлекаясь);</w:t>
      </w:r>
    </w:p>
    <w:p w14:paraId="249B4121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 • распределение (способность выполнять два вида деятельности и более); </w:t>
      </w:r>
    </w:p>
    <w:p w14:paraId="6B477CA2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• переключение (лёгкость перехода от одного вида деятельности к другому, умение отвлекаться от первого и сосредотачиваться на втором); </w:t>
      </w:r>
    </w:p>
    <w:p w14:paraId="029FB691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>• устойчивость (способность внимания сохраняться на одном и том же уровне в течение длительного периода времени);</w:t>
      </w:r>
    </w:p>
    <w:p w14:paraId="6BED3733" w14:textId="64CF6FB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 • объём (количество объектов, которые могут одновременно находиться в сфере внимания человека). Н.Н. </w:t>
      </w:r>
      <w:proofErr w:type="spellStart"/>
      <w:r w:rsidRPr="00905767">
        <w:rPr>
          <w:rFonts w:ascii="Times New Roman" w:hAnsi="Times New Roman" w:cs="Times New Roman"/>
          <w:sz w:val="28"/>
          <w:szCs w:val="28"/>
        </w:rPr>
        <w:t>Трагуготт</w:t>
      </w:r>
      <w:proofErr w:type="spellEnd"/>
      <w:r w:rsidRPr="00905767">
        <w:rPr>
          <w:rFonts w:ascii="Times New Roman" w:hAnsi="Times New Roman" w:cs="Times New Roman"/>
          <w:sz w:val="28"/>
          <w:szCs w:val="28"/>
        </w:rPr>
        <w:t xml:space="preserve"> и С.И. Кайданова отмечали, что типичными проявлениями в картине недостаточности у детей с ОНР является невключаемость внимания и его быстрая истощаемость. По данным Ю.А. Флоренской, особенностями внимания у детей с ОНР являются замедленность, неустойчивость. </w:t>
      </w:r>
    </w:p>
    <w:p w14:paraId="68B667DF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В.И. Селивёрстов к нарушениям внимания у детей с ОНР относит: </w:t>
      </w:r>
    </w:p>
    <w:p w14:paraId="1410E777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• неспособность сохранять внимание: ребёнок не может выполнить задание до конца, не собран при его выполнении; </w:t>
      </w:r>
    </w:p>
    <w:p w14:paraId="1248580A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• снижение избирательного внимания, неспособность сосредоточиться на предмете; </w:t>
      </w:r>
    </w:p>
    <w:p w14:paraId="7A64D6BE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• повышенная отвлекаемость: при выполнении задания, дети суетятся, переключаются с одного занятия на другое; </w:t>
      </w:r>
    </w:p>
    <w:p w14:paraId="3D2ED7B3" w14:textId="77777777" w:rsidR="00905767" w:rsidRDefault="00905767" w:rsidP="00905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• снижение внимания в непривычных ситуациях, когда необходимо действовать самостоятельно. Характерными особенностями внимания у детей с ОНР являются нарушение функции произвольного внимания и недостаточная концентрация на существенных признаках. Отмечаются нарушения произвольного слухового внимания: дети не слушают, не вслушиваются в звуки, быстро утомляются, отвлекаются, теряют интерес к звучаниям, их слуховая функция истощается. </w:t>
      </w:r>
    </w:p>
    <w:p w14:paraId="09DA0D2B" w14:textId="2ECE58BB" w:rsidR="00657DF4" w:rsidRPr="00905767" w:rsidRDefault="00905767" w:rsidP="00905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5767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Бабудаева З.А.</w:t>
      </w:r>
    </w:p>
    <w:sectPr w:rsidR="00657DF4" w:rsidRPr="0090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33"/>
    <w:rsid w:val="00373333"/>
    <w:rsid w:val="006224D1"/>
    <w:rsid w:val="00657DF4"/>
    <w:rsid w:val="0090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963A"/>
  <w15:chartTrackingRefBased/>
  <w15:docId w15:val="{8363BB35-731E-492C-B46B-9952D938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Маллер Карина Владимировна</dc:creator>
  <cp:keywords/>
  <dc:description/>
  <cp:lastModifiedBy>Маллер Карина Владимировна</cp:lastModifiedBy>
  <cp:revision>2</cp:revision>
  <dcterms:created xsi:type="dcterms:W3CDTF">2023-10-11T11:46:00Z</dcterms:created>
  <dcterms:modified xsi:type="dcterms:W3CDTF">2023-10-11T11:49:00Z</dcterms:modified>
</cp:coreProperties>
</file>